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2435" w14:textId="5D829AE7" w:rsidR="003257FB" w:rsidRDefault="00762FB5" w:rsidP="00761E72">
      <w:pPr>
        <w:rPr>
          <w:b/>
          <w:sz w:val="30"/>
        </w:rPr>
      </w:pPr>
      <w:r w:rsidRPr="00FA08B5">
        <w:rPr>
          <w:b/>
          <w:noProof/>
          <w:sz w:val="30"/>
          <w:lang w:eastAsia="en-GB"/>
        </w:rPr>
        <w:drawing>
          <wp:anchor distT="0" distB="0" distL="114300" distR="114300" simplePos="0" relativeHeight="251658240" behindDoc="0" locked="0" layoutInCell="1" allowOverlap="1" wp14:anchorId="3018DF30" wp14:editId="7D227545">
            <wp:simplePos x="0" y="0"/>
            <wp:positionH relativeFrom="margin">
              <wp:posOffset>4514850</wp:posOffset>
            </wp:positionH>
            <wp:positionV relativeFrom="paragraph">
              <wp:posOffset>119380</wp:posOffset>
            </wp:positionV>
            <wp:extent cx="2131060" cy="6127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9B67B" w14:textId="77777777" w:rsidR="003257FB" w:rsidRDefault="003257FB" w:rsidP="00761E72">
      <w:pPr>
        <w:rPr>
          <w:b/>
          <w:sz w:val="30"/>
        </w:rPr>
      </w:pPr>
    </w:p>
    <w:p w14:paraId="224A737D" w14:textId="2298DDD3" w:rsidR="00761E72" w:rsidRPr="00EE568A" w:rsidRDefault="00761E72" w:rsidP="00761E72">
      <w:pPr>
        <w:rPr>
          <w:b/>
          <w:sz w:val="28"/>
        </w:rPr>
      </w:pPr>
      <w:r w:rsidRPr="00FA08B5">
        <w:rPr>
          <w:b/>
          <w:sz w:val="30"/>
        </w:rPr>
        <w:t>ACADEMIC PROMOTION</w:t>
      </w:r>
    </w:p>
    <w:p w14:paraId="1D3D3DFB" w14:textId="77777777" w:rsidR="00761E72" w:rsidRPr="00E8428B" w:rsidRDefault="00761E72" w:rsidP="00761E72"/>
    <w:p w14:paraId="517F892B" w14:textId="37744662" w:rsidR="00761E72" w:rsidRPr="0031312A" w:rsidRDefault="00976E35" w:rsidP="00761E72">
      <w:pPr>
        <w:rPr>
          <w:rFonts w:eastAsia="Times New Roman"/>
          <w:b/>
          <w:sz w:val="28"/>
          <w:szCs w:val="28"/>
          <w:lang w:eastAsia="en-GB"/>
        </w:rPr>
      </w:pPr>
      <w:r w:rsidRPr="0031312A">
        <w:rPr>
          <w:rFonts w:eastAsia="Times New Roman"/>
          <w:b/>
          <w:sz w:val="28"/>
          <w:szCs w:val="28"/>
          <w:lang w:eastAsia="en-GB"/>
        </w:rPr>
        <w:t>School Context Report</w:t>
      </w:r>
    </w:p>
    <w:p w14:paraId="24BE1F4C" w14:textId="02BCF9FE" w:rsidR="00976E35" w:rsidRPr="00976E35" w:rsidRDefault="00976E35" w:rsidP="00761E72">
      <w:pPr>
        <w:rPr>
          <w:rFonts w:eastAsia="Times New Roman"/>
          <w:i/>
          <w:szCs w:val="24"/>
          <w:lang w:eastAsia="en-GB"/>
        </w:rPr>
      </w:pPr>
      <w:r w:rsidRPr="00976E35">
        <w:rPr>
          <w:rFonts w:eastAsia="Times New Roman"/>
          <w:i/>
          <w:szCs w:val="24"/>
          <w:lang w:eastAsia="en-GB"/>
        </w:rPr>
        <w:t>(NB. One to be completed per School)</w:t>
      </w:r>
    </w:p>
    <w:p w14:paraId="2CC376EF" w14:textId="77777777" w:rsidR="00163A46" w:rsidRDefault="00163A46" w:rsidP="00761E72">
      <w:pPr>
        <w:rPr>
          <w:rFonts w:eastAsia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761E72" w14:paraId="1245CC19" w14:textId="77777777" w:rsidTr="0031312A">
        <w:tc>
          <w:tcPr>
            <w:tcW w:w="3256" w:type="dxa"/>
            <w:shd w:val="clear" w:color="auto" w:fill="F2F2F2" w:themeFill="background1" w:themeFillShade="F2"/>
          </w:tcPr>
          <w:p w14:paraId="61B67DDF" w14:textId="77777777" w:rsidR="00761E72" w:rsidRPr="0031312A" w:rsidRDefault="00761E72" w:rsidP="004E0B81">
            <w:pPr>
              <w:spacing w:after="120"/>
              <w:rPr>
                <w:rFonts w:eastAsia="Times New Roman"/>
                <w:b/>
                <w:bCs/>
                <w:lang w:eastAsia="en-GB"/>
              </w:rPr>
            </w:pPr>
            <w:r w:rsidRPr="0031312A">
              <w:rPr>
                <w:rFonts w:eastAsia="Times New Roman"/>
                <w:b/>
                <w:bCs/>
                <w:lang w:eastAsia="en-GB"/>
              </w:rPr>
              <w:t>School:</w:t>
            </w:r>
          </w:p>
        </w:tc>
        <w:tc>
          <w:tcPr>
            <w:tcW w:w="7200" w:type="dxa"/>
          </w:tcPr>
          <w:p w14:paraId="3107C60E" w14:textId="77777777" w:rsidR="00761E72" w:rsidRDefault="00761E72" w:rsidP="004E0B81">
            <w:pPr>
              <w:spacing w:after="120"/>
              <w:rPr>
                <w:rFonts w:eastAsia="Times New Roman"/>
                <w:lang w:eastAsia="en-GB"/>
              </w:rPr>
            </w:pPr>
          </w:p>
        </w:tc>
      </w:tr>
      <w:tr w:rsidR="00761E72" w14:paraId="33BBAFDC" w14:textId="77777777" w:rsidTr="0031312A">
        <w:tc>
          <w:tcPr>
            <w:tcW w:w="3256" w:type="dxa"/>
            <w:shd w:val="clear" w:color="auto" w:fill="F2F2F2" w:themeFill="background1" w:themeFillShade="F2"/>
          </w:tcPr>
          <w:p w14:paraId="1AB399BA" w14:textId="77777777" w:rsidR="00761E72" w:rsidRPr="0031312A" w:rsidRDefault="00761E72" w:rsidP="004E0B81">
            <w:pPr>
              <w:spacing w:after="120"/>
              <w:rPr>
                <w:rFonts w:eastAsia="Times New Roman"/>
                <w:b/>
                <w:bCs/>
                <w:lang w:eastAsia="en-GB"/>
              </w:rPr>
            </w:pPr>
            <w:r w:rsidRPr="0031312A">
              <w:rPr>
                <w:rFonts w:eastAsia="Times New Roman"/>
                <w:b/>
                <w:bCs/>
                <w:lang w:eastAsia="en-GB"/>
              </w:rPr>
              <w:t>Faculty:</w:t>
            </w:r>
          </w:p>
        </w:tc>
        <w:sdt>
          <w:sdtPr>
            <w:rPr>
              <w:rFonts w:eastAsia="Times New Roman"/>
              <w:lang w:eastAsia="en-GB"/>
            </w:rPr>
            <w:id w:val="-1572646021"/>
            <w:placeholder>
              <w:docPart w:val="DefaultPlaceholder_-1854013439"/>
            </w:placeholder>
            <w:showingPlcHdr/>
            <w:dropDownList>
              <w:listItem w:displayText="Arts" w:value="Arts"/>
              <w:listItem w:displayText="Engineering" w:value="Engineering"/>
              <w:listItem w:displayText="Health Sciences" w:value="Health Sciences"/>
              <w:listItem w:displayText="Life Sciences" w:value="Life Sciences"/>
              <w:listItem w:displayText="Science" w:value="Science"/>
              <w:listItem w:displayText="Social Sciences and Law" w:value="Social Sciences and Law"/>
            </w:dropDownList>
          </w:sdtPr>
          <w:sdtContent>
            <w:tc>
              <w:tcPr>
                <w:tcW w:w="7200" w:type="dxa"/>
              </w:tcPr>
              <w:p w14:paraId="771D2259" w14:textId="77777777" w:rsidR="00761E72" w:rsidRDefault="00CD0F8D" w:rsidP="004E0B81">
                <w:pPr>
                  <w:spacing w:after="120"/>
                  <w:rPr>
                    <w:rFonts w:eastAsia="Times New Roman"/>
                    <w:lang w:eastAsia="en-GB"/>
                  </w:rPr>
                </w:pPr>
                <w:r w:rsidRPr="002714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2566AC1" w14:textId="77777777" w:rsidR="00D431DF" w:rsidRDefault="00D431DF">
      <w:pPr>
        <w:rPr>
          <w:rStyle w:val="Hyperlink"/>
          <w:szCs w:val="24"/>
        </w:rPr>
      </w:pPr>
    </w:p>
    <w:p w14:paraId="79AEDE39" w14:textId="4E941FAC" w:rsidR="00F130C5" w:rsidRDefault="00976E35" w:rsidP="00F130C5">
      <w:pPr>
        <w:spacing w:after="120"/>
      </w:pPr>
      <w:r w:rsidRPr="00DE6EBA">
        <w:t xml:space="preserve">The purpose of this report is to provide </w:t>
      </w:r>
      <w:r w:rsidR="00194F83">
        <w:t xml:space="preserve">a summary of the </w:t>
      </w:r>
      <w:r w:rsidR="00376CC0">
        <w:t xml:space="preserve">working </w:t>
      </w:r>
      <w:r w:rsidR="00194F83">
        <w:t>context</w:t>
      </w:r>
      <w:r w:rsidR="00D470F4">
        <w:t xml:space="preserve"> for each school</w:t>
      </w:r>
      <w:r w:rsidR="00A92BA2">
        <w:t xml:space="preserve"> </w:t>
      </w:r>
      <w:r w:rsidR="006D4CB7">
        <w:t>using</w:t>
      </w:r>
      <w:r w:rsidR="00A92BA2">
        <w:t xml:space="preserve"> the </w:t>
      </w:r>
      <w:r w:rsidR="00727E01">
        <w:t>four categories in</w:t>
      </w:r>
      <w:r w:rsidR="00FE3D4A">
        <w:t xml:space="preserve"> the</w:t>
      </w:r>
      <w:r w:rsidR="00727E01">
        <w:t xml:space="preserve"> </w:t>
      </w:r>
      <w:r w:rsidR="00A92BA2">
        <w:t>Academic Promotions Framework (APF)</w:t>
      </w:r>
      <w:r w:rsidR="00D470F4">
        <w:t xml:space="preserve">. </w:t>
      </w:r>
      <w:r w:rsidR="00634E84">
        <w:t xml:space="preserve">It is </w:t>
      </w:r>
      <w:r w:rsidR="00612951">
        <w:t xml:space="preserve">a guide </w:t>
      </w:r>
      <w:r w:rsidR="00634E84">
        <w:t>for everyone involved in academic promotion, which includes potential candidates, their managers and others providing support</w:t>
      </w:r>
      <w:r w:rsidR="00E007DE">
        <w:t xml:space="preserve"> (such as mentors and reviewers)</w:t>
      </w:r>
      <w:r w:rsidR="0062392D">
        <w:t xml:space="preserve">, as well as </w:t>
      </w:r>
      <w:r w:rsidR="00B703F2">
        <w:t xml:space="preserve">members of </w:t>
      </w:r>
      <w:r w:rsidR="004725F5">
        <w:t>each</w:t>
      </w:r>
      <w:r w:rsidR="0062392D">
        <w:t xml:space="preserve"> </w:t>
      </w:r>
      <w:r w:rsidR="00B703F2">
        <w:t>Faculty Promotion C</w:t>
      </w:r>
      <w:r w:rsidRPr="00DE6EBA">
        <w:t>ommittee</w:t>
      </w:r>
      <w:r w:rsidR="00B703F2">
        <w:t xml:space="preserve"> (FPC).</w:t>
      </w:r>
    </w:p>
    <w:p w14:paraId="084A542B" w14:textId="782EF1FD" w:rsidR="00E325F5" w:rsidRDefault="00F13611" w:rsidP="00F130C5">
      <w:pPr>
        <w:spacing w:after="120"/>
      </w:pPr>
      <w:r>
        <w:t xml:space="preserve">The </w:t>
      </w:r>
      <w:r w:rsidR="00C9040B">
        <w:t>intention is to provide everyone</w:t>
      </w:r>
      <w:r w:rsidR="00E007DE">
        <w:t xml:space="preserve"> </w:t>
      </w:r>
      <w:r w:rsidR="00D731F8">
        <w:t>involved with the same information</w:t>
      </w:r>
      <w:r w:rsidR="006C1002">
        <w:t xml:space="preserve"> about </w:t>
      </w:r>
      <w:r w:rsidR="005B467D">
        <w:t>the academic</w:t>
      </w:r>
      <w:r w:rsidR="006C1002">
        <w:t xml:space="preserve"> </w:t>
      </w:r>
      <w:r w:rsidR="000E3E41">
        <w:t xml:space="preserve">contribution </w:t>
      </w:r>
      <w:r w:rsidR="005B467D">
        <w:t xml:space="preserve">necessary </w:t>
      </w:r>
      <w:r w:rsidR="00B81CA5">
        <w:t xml:space="preserve">for the </w:t>
      </w:r>
      <w:r w:rsidR="00494861">
        <w:t xml:space="preserve">successful day-to-day running of the </w:t>
      </w:r>
      <w:r w:rsidR="00B81CA5">
        <w:t>school.</w:t>
      </w:r>
      <w:r w:rsidR="00976E35" w:rsidRPr="00DE6EBA">
        <w:t xml:space="preserve"> </w:t>
      </w:r>
      <w:r w:rsidR="009C2928">
        <w:t xml:space="preserve">It will cover the four broad APF categories, </w:t>
      </w:r>
      <w:r w:rsidR="00267A30">
        <w:t xml:space="preserve">referencing specific criteria as appropriate. </w:t>
      </w:r>
      <w:r w:rsidR="00C5313D">
        <w:t>Where possible, it will</w:t>
      </w:r>
      <w:r w:rsidR="00DD663E">
        <w:t xml:space="preserve"> also</w:t>
      </w:r>
      <w:r w:rsidR="00C5313D">
        <w:t xml:space="preserve"> </w:t>
      </w:r>
      <w:r w:rsidR="00DD663E">
        <w:t xml:space="preserve">include how </w:t>
      </w:r>
      <w:r w:rsidR="00424271">
        <w:t>things</w:t>
      </w:r>
      <w:r w:rsidR="00DD663E">
        <w:t xml:space="preserve"> var</w:t>
      </w:r>
      <w:r w:rsidR="00714635">
        <w:t>y</w:t>
      </w:r>
      <w:r w:rsidR="00DD663E">
        <w:t xml:space="preserve"> a</w:t>
      </w:r>
      <w:r w:rsidR="001B5CDD">
        <w:t>cross</w:t>
      </w:r>
      <w:r w:rsidR="00DD663E">
        <w:t xml:space="preserve"> </w:t>
      </w:r>
      <w:r w:rsidR="001B576B">
        <w:t>academic levels</w:t>
      </w:r>
      <w:r w:rsidR="00F148C1">
        <w:t xml:space="preserve"> and pathways</w:t>
      </w:r>
      <w:r w:rsidR="001B5CDD">
        <w:t>,</w:t>
      </w:r>
      <w:r w:rsidR="00194811">
        <w:t xml:space="preserve"> as well as</w:t>
      </w:r>
      <w:r w:rsidR="00070413">
        <w:t xml:space="preserve"> w</w:t>
      </w:r>
      <w:r w:rsidR="00976E35">
        <w:t xml:space="preserve">here there </w:t>
      </w:r>
      <w:r w:rsidR="00070413">
        <w:t xml:space="preserve">might be </w:t>
      </w:r>
      <w:r w:rsidR="00976E35">
        <w:t>significant variation between disciplines</w:t>
      </w:r>
      <w:r w:rsidR="00070413">
        <w:t>.</w:t>
      </w:r>
    </w:p>
    <w:p w14:paraId="5EC3F28D" w14:textId="19058058" w:rsidR="00822190" w:rsidRDefault="00822190" w:rsidP="00F130C5">
      <w:pPr>
        <w:spacing w:after="120"/>
      </w:pPr>
      <w:r>
        <w:t xml:space="preserve">It is also an opportunity to </w:t>
      </w:r>
      <w:r w:rsidR="008B7DC3">
        <w:t xml:space="preserve">influence and shape the </w:t>
      </w:r>
      <w:r w:rsidR="0091543D">
        <w:t>culture within the school</w:t>
      </w:r>
      <w:r w:rsidR="00FB1ABE">
        <w:t xml:space="preserve">, especially linked to </w:t>
      </w:r>
      <w:r w:rsidR="00A82BC4">
        <w:t>wider initiatives within the Higher Education sector</w:t>
      </w:r>
      <w:r w:rsidR="00A422AF">
        <w:t xml:space="preserve"> that the University </w:t>
      </w:r>
      <w:r w:rsidR="00AD4081">
        <w:t>supports</w:t>
      </w:r>
      <w:r w:rsidR="00A82BC4">
        <w:t xml:space="preserve">. </w:t>
      </w:r>
      <w:r w:rsidR="00856888">
        <w:t>Examples include</w:t>
      </w:r>
      <w:r w:rsidR="007126A8">
        <w:t xml:space="preserve"> the </w:t>
      </w:r>
      <w:hyperlink r:id="rId11" w:history="1">
        <w:r w:rsidR="007126A8" w:rsidRPr="00F5183F">
          <w:rPr>
            <w:rStyle w:val="Hyperlink"/>
          </w:rPr>
          <w:t>Con</w:t>
        </w:r>
        <w:r w:rsidR="007126A8" w:rsidRPr="00F5183F">
          <w:rPr>
            <w:rStyle w:val="Hyperlink"/>
          </w:rPr>
          <w:t>c</w:t>
        </w:r>
        <w:r w:rsidR="007126A8" w:rsidRPr="00F5183F">
          <w:rPr>
            <w:rStyle w:val="Hyperlink"/>
          </w:rPr>
          <w:t xml:space="preserve">ordat </w:t>
        </w:r>
        <w:r w:rsidR="006A08AE" w:rsidRPr="00F5183F">
          <w:rPr>
            <w:rStyle w:val="Hyperlink"/>
          </w:rPr>
          <w:t>to support the career development of researchers</w:t>
        </w:r>
      </w:hyperlink>
      <w:r w:rsidR="006A08AE">
        <w:t xml:space="preserve">, </w:t>
      </w:r>
      <w:hyperlink r:id="rId12" w:history="1">
        <w:r w:rsidR="00856888" w:rsidRPr="0015307F">
          <w:rPr>
            <w:rStyle w:val="Hyperlink"/>
          </w:rPr>
          <w:t>responsible rese</w:t>
        </w:r>
        <w:r w:rsidR="00856888" w:rsidRPr="0015307F">
          <w:rPr>
            <w:rStyle w:val="Hyperlink"/>
          </w:rPr>
          <w:t>a</w:t>
        </w:r>
        <w:r w:rsidR="00856888" w:rsidRPr="0015307F">
          <w:rPr>
            <w:rStyle w:val="Hyperlink"/>
          </w:rPr>
          <w:t>rch evaluation</w:t>
        </w:r>
      </w:hyperlink>
      <w:r w:rsidR="00140CD1">
        <w:t xml:space="preserve"> </w:t>
      </w:r>
      <w:r w:rsidR="00DE4E70">
        <w:t>(DORA, Le</w:t>
      </w:r>
      <w:r w:rsidR="00D24DC1">
        <w:t>i</w:t>
      </w:r>
      <w:r w:rsidR="00DE4E70">
        <w:t>den Manifesto, etc.)</w:t>
      </w:r>
      <w:r w:rsidR="00D24DC1">
        <w:t xml:space="preserve"> </w:t>
      </w:r>
      <w:r w:rsidR="00140CD1">
        <w:t>and</w:t>
      </w:r>
      <w:r w:rsidR="0015307F">
        <w:t xml:space="preserve"> </w:t>
      </w:r>
      <w:hyperlink r:id="rId13" w:history="1">
        <w:r w:rsidR="007D39C9">
          <w:rPr>
            <w:rStyle w:val="Hyperlink"/>
          </w:rPr>
          <w:t>innovation in learn</w:t>
        </w:r>
        <w:r w:rsidR="007D39C9">
          <w:rPr>
            <w:rStyle w:val="Hyperlink"/>
          </w:rPr>
          <w:t>i</w:t>
        </w:r>
        <w:r w:rsidR="007D39C9">
          <w:rPr>
            <w:rStyle w:val="Hyperlink"/>
          </w:rPr>
          <w:t>ng and teaching</w:t>
        </w:r>
      </w:hyperlink>
      <w:r w:rsidR="00140CD1">
        <w:t>.</w:t>
      </w:r>
    </w:p>
    <w:p w14:paraId="268BB83C" w14:textId="77777777" w:rsidR="000339AA" w:rsidRDefault="000339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6E35" w14:paraId="58D55A0C" w14:textId="77777777" w:rsidTr="00E27525">
        <w:tc>
          <w:tcPr>
            <w:tcW w:w="10456" w:type="dxa"/>
            <w:shd w:val="clear" w:color="auto" w:fill="F2F2F2" w:themeFill="background1" w:themeFillShade="F2"/>
          </w:tcPr>
          <w:p w14:paraId="59279BA1" w14:textId="6F36A61E" w:rsidR="00976E35" w:rsidRDefault="001B5CDD" w:rsidP="003E551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Overall </w:t>
            </w:r>
            <w:r w:rsidR="009366FB">
              <w:rPr>
                <w:b/>
              </w:rPr>
              <w:t>s</w:t>
            </w:r>
            <w:r w:rsidR="00976E35" w:rsidRPr="00480D31">
              <w:rPr>
                <w:b/>
              </w:rPr>
              <w:t>chool context</w:t>
            </w:r>
          </w:p>
          <w:p w14:paraId="5F8A546A" w14:textId="7DE47532" w:rsidR="00976E35" w:rsidRPr="003E551E" w:rsidRDefault="00F8750E" w:rsidP="003E551E">
            <w:pPr>
              <w:spacing w:after="120"/>
              <w:rPr>
                <w:b/>
                <w:iCs/>
              </w:rPr>
            </w:pPr>
            <w:r>
              <w:rPr>
                <w:rFonts w:cs="Calibri"/>
                <w:iCs/>
              </w:rPr>
              <w:t>G</w:t>
            </w:r>
            <w:r w:rsidR="00976E35" w:rsidRPr="003E551E">
              <w:rPr>
                <w:rFonts w:cs="Calibri"/>
                <w:iCs/>
              </w:rPr>
              <w:t xml:space="preserve">eneral comments about how the school is </w:t>
            </w:r>
            <w:r w:rsidR="000B76C0" w:rsidRPr="003E551E">
              <w:rPr>
                <w:rFonts w:cs="Calibri"/>
                <w:iCs/>
              </w:rPr>
              <w:t>managed</w:t>
            </w:r>
            <w:r w:rsidR="00AF1FDB" w:rsidRPr="003E551E">
              <w:rPr>
                <w:rFonts w:cs="Calibri"/>
                <w:iCs/>
              </w:rPr>
              <w:t xml:space="preserve"> and</w:t>
            </w:r>
            <w:r w:rsidR="000B76C0" w:rsidRPr="003E551E">
              <w:rPr>
                <w:rFonts w:cs="Calibri"/>
                <w:iCs/>
              </w:rPr>
              <w:t xml:space="preserve"> </w:t>
            </w:r>
            <w:r w:rsidR="00976E35" w:rsidRPr="003E551E">
              <w:rPr>
                <w:rFonts w:cs="Calibri"/>
                <w:iCs/>
              </w:rPr>
              <w:t>organised</w:t>
            </w:r>
            <w:r w:rsidR="00342260" w:rsidRPr="003E551E">
              <w:rPr>
                <w:rFonts w:cs="Calibri"/>
                <w:iCs/>
              </w:rPr>
              <w:t xml:space="preserve"> (Departments, Sections, Subjects, Groups, etc.)</w:t>
            </w:r>
            <w:r w:rsidR="00E37F4E" w:rsidRPr="003E551E">
              <w:rPr>
                <w:rFonts w:cs="Calibri"/>
                <w:iCs/>
              </w:rPr>
              <w:t>, how</w:t>
            </w:r>
            <w:r w:rsidR="00A32944" w:rsidRPr="003E551E">
              <w:rPr>
                <w:rFonts w:cs="Calibri"/>
                <w:iCs/>
              </w:rPr>
              <w:t xml:space="preserve"> workload </w:t>
            </w:r>
            <w:r w:rsidR="00E37F4E" w:rsidRPr="003E551E">
              <w:rPr>
                <w:rFonts w:cs="Calibri"/>
                <w:iCs/>
              </w:rPr>
              <w:t>is allocated</w:t>
            </w:r>
            <w:r w:rsidR="007F58F9" w:rsidRPr="003E551E">
              <w:rPr>
                <w:rFonts w:cs="Calibri"/>
                <w:iCs/>
              </w:rPr>
              <w:t xml:space="preserve"> across pathways</w:t>
            </w:r>
            <w:r w:rsidR="00976E35" w:rsidRPr="003E551E">
              <w:rPr>
                <w:rFonts w:cs="Calibri"/>
                <w:iCs/>
              </w:rPr>
              <w:t xml:space="preserve">, </w:t>
            </w:r>
            <w:r w:rsidR="009C4560" w:rsidRPr="003E551E">
              <w:rPr>
                <w:rFonts w:cs="Calibri"/>
                <w:iCs/>
              </w:rPr>
              <w:t xml:space="preserve">a sense of </w:t>
            </w:r>
            <w:r w:rsidR="00364729" w:rsidRPr="003E551E">
              <w:rPr>
                <w:rFonts w:cs="Calibri"/>
                <w:iCs/>
              </w:rPr>
              <w:t xml:space="preserve">the size and </w:t>
            </w:r>
            <w:r w:rsidR="009C4560" w:rsidRPr="003E551E">
              <w:rPr>
                <w:rFonts w:cs="Calibri"/>
                <w:iCs/>
              </w:rPr>
              <w:t>scale</w:t>
            </w:r>
            <w:r w:rsidR="00364729" w:rsidRPr="003E551E">
              <w:rPr>
                <w:rFonts w:cs="Calibri"/>
                <w:iCs/>
              </w:rPr>
              <w:t xml:space="preserve"> of </w:t>
            </w:r>
            <w:r w:rsidR="009D4301" w:rsidRPr="003E551E">
              <w:rPr>
                <w:rFonts w:cs="Calibri"/>
                <w:iCs/>
              </w:rPr>
              <w:t xml:space="preserve">key </w:t>
            </w:r>
            <w:r w:rsidR="00364729" w:rsidRPr="003E551E">
              <w:rPr>
                <w:rFonts w:cs="Calibri"/>
                <w:iCs/>
              </w:rPr>
              <w:t>activities</w:t>
            </w:r>
            <w:r w:rsidR="00047B74">
              <w:rPr>
                <w:rFonts w:cs="Calibri"/>
                <w:iCs/>
              </w:rPr>
              <w:t xml:space="preserve"> such as</w:t>
            </w:r>
            <w:r w:rsidR="009C4560" w:rsidRPr="003E551E">
              <w:rPr>
                <w:rFonts w:cs="Calibri"/>
                <w:iCs/>
              </w:rPr>
              <w:t xml:space="preserve"> </w:t>
            </w:r>
            <w:r w:rsidR="00976E35" w:rsidRPr="003E551E">
              <w:rPr>
                <w:rFonts w:cs="Calibri"/>
                <w:iCs/>
              </w:rPr>
              <w:t xml:space="preserve">teaching programmes, research </w:t>
            </w:r>
            <w:r w:rsidR="007F58F9" w:rsidRPr="003E551E">
              <w:rPr>
                <w:rFonts w:cs="Calibri"/>
                <w:iCs/>
              </w:rPr>
              <w:t>areas</w:t>
            </w:r>
            <w:r w:rsidR="00976E35" w:rsidRPr="003E551E">
              <w:rPr>
                <w:rFonts w:cs="Calibri"/>
                <w:iCs/>
              </w:rPr>
              <w:t>, etc.</w:t>
            </w:r>
          </w:p>
        </w:tc>
      </w:tr>
      <w:tr w:rsidR="00976E35" w14:paraId="0C8B8850" w14:textId="77777777" w:rsidTr="0072267C">
        <w:trPr>
          <w:trHeight w:val="3402"/>
        </w:trPr>
        <w:tc>
          <w:tcPr>
            <w:tcW w:w="10456" w:type="dxa"/>
          </w:tcPr>
          <w:p w14:paraId="647235EC" w14:textId="77777777" w:rsidR="00976E35" w:rsidRPr="00976E35" w:rsidRDefault="00976E35" w:rsidP="0072267C">
            <w:pPr>
              <w:spacing w:after="120"/>
            </w:pPr>
          </w:p>
        </w:tc>
      </w:tr>
      <w:tr w:rsidR="00173029" w14:paraId="1A374E7F" w14:textId="77777777" w:rsidTr="00E27525">
        <w:tc>
          <w:tcPr>
            <w:tcW w:w="10456" w:type="dxa"/>
            <w:shd w:val="clear" w:color="auto" w:fill="F2F2F2" w:themeFill="background1" w:themeFillShade="F2"/>
          </w:tcPr>
          <w:p w14:paraId="3D447203" w14:textId="39368098" w:rsidR="00173029" w:rsidRDefault="00173029" w:rsidP="003E551E">
            <w:pPr>
              <w:keepNext/>
              <w:spacing w:after="120"/>
              <w:rPr>
                <w:b/>
              </w:rPr>
            </w:pPr>
            <w:r w:rsidRPr="00480D31">
              <w:rPr>
                <w:b/>
              </w:rPr>
              <w:lastRenderedPageBreak/>
              <w:t>Research</w:t>
            </w:r>
            <w:r w:rsidR="00643B80">
              <w:rPr>
                <w:b/>
              </w:rPr>
              <w:t xml:space="preserve"> (R-1 to R-4)</w:t>
            </w:r>
          </w:p>
          <w:p w14:paraId="05D6BDAD" w14:textId="0A79B032" w:rsidR="00173029" w:rsidRPr="003E551E" w:rsidRDefault="00173029" w:rsidP="003E551E">
            <w:pPr>
              <w:keepNext/>
              <w:spacing w:after="120"/>
              <w:rPr>
                <w:iCs/>
              </w:rPr>
            </w:pPr>
            <w:r w:rsidRPr="003E551E">
              <w:rPr>
                <w:rFonts w:cs="Calibri"/>
                <w:iCs/>
              </w:rPr>
              <w:t xml:space="preserve">Expectations in terms of </w:t>
            </w:r>
            <w:r w:rsidR="002B38EB">
              <w:rPr>
                <w:rFonts w:cs="Calibri"/>
                <w:iCs/>
              </w:rPr>
              <w:t>research outputs (R-1)</w:t>
            </w:r>
            <w:r w:rsidR="00643B80">
              <w:rPr>
                <w:rFonts w:cs="Calibri"/>
                <w:iCs/>
              </w:rPr>
              <w:t xml:space="preserve">, building research capacity and recognition (R-2), </w:t>
            </w:r>
            <w:r w:rsidR="00A03D0D">
              <w:rPr>
                <w:rFonts w:cs="Calibri"/>
                <w:iCs/>
              </w:rPr>
              <w:t xml:space="preserve">grant income (R-3) and </w:t>
            </w:r>
            <w:r w:rsidR="00405B27">
              <w:rPr>
                <w:rFonts w:cs="Calibri"/>
                <w:iCs/>
              </w:rPr>
              <w:t>research supervision (R-4)</w:t>
            </w:r>
            <w:r w:rsidRPr="003E551E">
              <w:rPr>
                <w:rFonts w:cs="Calibri"/>
                <w:iCs/>
              </w:rPr>
              <w:t>.</w:t>
            </w:r>
          </w:p>
        </w:tc>
      </w:tr>
      <w:tr w:rsidR="00173029" w14:paraId="295DD364" w14:textId="77777777" w:rsidTr="0072267C">
        <w:trPr>
          <w:trHeight w:val="3402"/>
        </w:trPr>
        <w:tc>
          <w:tcPr>
            <w:tcW w:w="10456" w:type="dxa"/>
          </w:tcPr>
          <w:p w14:paraId="2B319CEC" w14:textId="77777777" w:rsidR="00173029" w:rsidRDefault="00173029" w:rsidP="0072267C">
            <w:pPr>
              <w:spacing w:after="120"/>
            </w:pPr>
          </w:p>
        </w:tc>
      </w:tr>
      <w:tr w:rsidR="00976E35" w:rsidRPr="004E0B81" w14:paraId="04DC390E" w14:textId="77777777" w:rsidTr="00E27525">
        <w:tc>
          <w:tcPr>
            <w:tcW w:w="10456" w:type="dxa"/>
            <w:shd w:val="clear" w:color="auto" w:fill="F2F2F2" w:themeFill="background1" w:themeFillShade="F2"/>
          </w:tcPr>
          <w:p w14:paraId="5FF915EA" w14:textId="2D32B7FE" w:rsidR="00976E35" w:rsidRPr="004E0B81" w:rsidRDefault="001B5CDD" w:rsidP="004E0B81">
            <w:pPr>
              <w:keepNext/>
              <w:spacing w:after="120"/>
              <w:rPr>
                <w:b/>
              </w:rPr>
            </w:pPr>
            <w:r w:rsidRPr="004E0B81">
              <w:rPr>
                <w:b/>
              </w:rPr>
              <w:t>Education</w:t>
            </w:r>
            <w:r w:rsidR="00643B80">
              <w:rPr>
                <w:b/>
              </w:rPr>
              <w:t xml:space="preserve"> (E-1 to E-4)</w:t>
            </w:r>
          </w:p>
          <w:p w14:paraId="71CA9C54" w14:textId="4855C5D3" w:rsidR="00976E35" w:rsidRPr="00100985" w:rsidRDefault="00976E35" w:rsidP="004E0B81">
            <w:pPr>
              <w:keepNext/>
              <w:spacing w:after="120"/>
              <w:rPr>
                <w:rFonts w:cs="Calibri"/>
              </w:rPr>
            </w:pPr>
            <w:r w:rsidRPr="004E0B81">
              <w:rPr>
                <w:rFonts w:cs="Calibri"/>
              </w:rPr>
              <w:t xml:space="preserve">Expectations in terms of </w:t>
            </w:r>
            <w:r w:rsidR="007676F3">
              <w:rPr>
                <w:rFonts w:cs="Calibri"/>
              </w:rPr>
              <w:t xml:space="preserve">education practice and the </w:t>
            </w:r>
            <w:r w:rsidRPr="004E0B81">
              <w:rPr>
                <w:rFonts w:cs="Calibri"/>
              </w:rPr>
              <w:t>nature and volume of teaching delivery</w:t>
            </w:r>
            <w:r w:rsidR="00C60EA2">
              <w:rPr>
                <w:rFonts w:cs="Calibri"/>
              </w:rPr>
              <w:t xml:space="preserve"> (E-1)</w:t>
            </w:r>
            <w:r w:rsidRPr="004E0B81">
              <w:rPr>
                <w:rFonts w:cs="Calibri"/>
              </w:rPr>
              <w:t xml:space="preserve">, </w:t>
            </w:r>
            <w:r w:rsidR="00F34E7E">
              <w:rPr>
                <w:rFonts w:cs="Calibri"/>
              </w:rPr>
              <w:t>supporting students</w:t>
            </w:r>
            <w:r w:rsidR="00C60EA2">
              <w:rPr>
                <w:rFonts w:cs="Calibri"/>
              </w:rPr>
              <w:t xml:space="preserve"> (E-2), </w:t>
            </w:r>
            <w:r w:rsidR="00100985">
              <w:rPr>
                <w:rFonts w:cs="Calibri"/>
              </w:rPr>
              <w:t xml:space="preserve">curriculum development (E-3) and the scholarship of teaching and </w:t>
            </w:r>
            <w:r w:rsidR="00603701">
              <w:rPr>
                <w:rFonts w:cs="Calibri"/>
              </w:rPr>
              <w:t>learning (E-4)</w:t>
            </w:r>
            <w:r w:rsidRPr="004E0B81">
              <w:rPr>
                <w:rFonts w:cs="Calibri"/>
              </w:rPr>
              <w:t>.</w:t>
            </w:r>
          </w:p>
        </w:tc>
      </w:tr>
      <w:tr w:rsidR="00976E35" w14:paraId="410ED128" w14:textId="77777777" w:rsidTr="0072267C">
        <w:trPr>
          <w:trHeight w:val="3402"/>
        </w:trPr>
        <w:tc>
          <w:tcPr>
            <w:tcW w:w="10456" w:type="dxa"/>
          </w:tcPr>
          <w:p w14:paraId="598AE8B8" w14:textId="77777777" w:rsidR="00976E35" w:rsidRDefault="00976E35" w:rsidP="0072267C">
            <w:pPr>
              <w:spacing w:after="120"/>
            </w:pPr>
          </w:p>
        </w:tc>
      </w:tr>
      <w:tr w:rsidR="009366FB" w:rsidRPr="004E0B81" w14:paraId="3CEA0BE1" w14:textId="77777777" w:rsidTr="00E27525">
        <w:tc>
          <w:tcPr>
            <w:tcW w:w="10456" w:type="dxa"/>
            <w:shd w:val="clear" w:color="auto" w:fill="F2F2F2" w:themeFill="background1" w:themeFillShade="F2"/>
          </w:tcPr>
          <w:p w14:paraId="0B9F750C" w14:textId="23E13B68" w:rsidR="009366FB" w:rsidRPr="004E0B81" w:rsidRDefault="009366FB" w:rsidP="004E0B81">
            <w:pPr>
              <w:keepNext/>
              <w:spacing w:after="120"/>
              <w:rPr>
                <w:b/>
              </w:rPr>
            </w:pPr>
            <w:r w:rsidRPr="004E0B81">
              <w:rPr>
                <w:b/>
              </w:rPr>
              <w:t xml:space="preserve">Engagement </w:t>
            </w:r>
            <w:r w:rsidR="00173029" w:rsidRPr="004E0B81">
              <w:rPr>
                <w:b/>
              </w:rPr>
              <w:t>and</w:t>
            </w:r>
            <w:r w:rsidRPr="004E0B81">
              <w:rPr>
                <w:b/>
              </w:rPr>
              <w:t xml:space="preserve"> impact</w:t>
            </w:r>
            <w:r w:rsidR="00643B80">
              <w:rPr>
                <w:b/>
              </w:rPr>
              <w:t xml:space="preserve"> (EI-1 to EI-3)</w:t>
            </w:r>
          </w:p>
          <w:p w14:paraId="7F5A0E78" w14:textId="39D28218" w:rsidR="009366FB" w:rsidRPr="004E0B81" w:rsidRDefault="009366FB" w:rsidP="004E0B81">
            <w:pPr>
              <w:keepNext/>
              <w:spacing w:after="120"/>
            </w:pPr>
            <w:r w:rsidRPr="004E0B81">
              <w:rPr>
                <w:rFonts w:cs="Calibri"/>
              </w:rPr>
              <w:t xml:space="preserve">Expectations in terms of </w:t>
            </w:r>
            <w:r w:rsidR="009D3F26">
              <w:rPr>
                <w:rFonts w:cs="Calibri"/>
              </w:rPr>
              <w:t>engagement with external organisations</w:t>
            </w:r>
            <w:r w:rsidR="00603701">
              <w:rPr>
                <w:rFonts w:cs="Calibri"/>
              </w:rPr>
              <w:t xml:space="preserve"> (EI-1)</w:t>
            </w:r>
            <w:r w:rsidR="009D3F26">
              <w:rPr>
                <w:rFonts w:cs="Calibri"/>
              </w:rPr>
              <w:t xml:space="preserve">, </w:t>
            </w:r>
            <w:r w:rsidR="00E02855">
              <w:rPr>
                <w:rFonts w:cs="Calibri"/>
              </w:rPr>
              <w:t>the translation and application of knowledge</w:t>
            </w:r>
            <w:r w:rsidR="00603701">
              <w:rPr>
                <w:rFonts w:cs="Calibri"/>
              </w:rPr>
              <w:t xml:space="preserve"> (EI-2) and </w:t>
            </w:r>
            <w:r w:rsidR="0055751E">
              <w:rPr>
                <w:rFonts w:cs="Calibri"/>
              </w:rPr>
              <w:t>maintaining community dialogue</w:t>
            </w:r>
            <w:r w:rsidR="00603701">
              <w:rPr>
                <w:rFonts w:cs="Calibri"/>
              </w:rPr>
              <w:t xml:space="preserve"> (EI-3)</w:t>
            </w:r>
            <w:r w:rsidRPr="004E0B81">
              <w:rPr>
                <w:rFonts w:cs="Calibri"/>
              </w:rPr>
              <w:t>.</w:t>
            </w:r>
          </w:p>
        </w:tc>
      </w:tr>
      <w:tr w:rsidR="009366FB" w14:paraId="10C66D0A" w14:textId="77777777" w:rsidTr="0072267C">
        <w:trPr>
          <w:trHeight w:val="3402"/>
        </w:trPr>
        <w:tc>
          <w:tcPr>
            <w:tcW w:w="10456" w:type="dxa"/>
          </w:tcPr>
          <w:p w14:paraId="3C7933D6" w14:textId="77777777" w:rsidR="009366FB" w:rsidRDefault="009366FB" w:rsidP="0072267C">
            <w:pPr>
              <w:spacing w:after="120"/>
            </w:pPr>
          </w:p>
        </w:tc>
      </w:tr>
      <w:tr w:rsidR="009366FB" w:rsidRPr="004E0B81" w14:paraId="75693C63" w14:textId="77777777" w:rsidTr="00E27525">
        <w:tc>
          <w:tcPr>
            <w:tcW w:w="10456" w:type="dxa"/>
            <w:shd w:val="clear" w:color="auto" w:fill="F2F2F2" w:themeFill="background1" w:themeFillShade="F2"/>
          </w:tcPr>
          <w:p w14:paraId="6E276FFD" w14:textId="1249CA13" w:rsidR="009366FB" w:rsidRPr="004E0B81" w:rsidRDefault="009366FB" w:rsidP="004E0B81">
            <w:pPr>
              <w:keepNext/>
              <w:spacing w:after="120"/>
              <w:rPr>
                <w:b/>
              </w:rPr>
            </w:pPr>
            <w:r w:rsidRPr="004E0B81">
              <w:rPr>
                <w:b/>
              </w:rPr>
              <w:lastRenderedPageBreak/>
              <w:t>Leadership</w:t>
            </w:r>
            <w:r w:rsidR="00173029" w:rsidRPr="004E0B81">
              <w:rPr>
                <w:b/>
              </w:rPr>
              <w:t xml:space="preserve"> and</w:t>
            </w:r>
            <w:r w:rsidRPr="004E0B81">
              <w:rPr>
                <w:b/>
              </w:rPr>
              <w:t xml:space="preserve"> citizenship</w:t>
            </w:r>
            <w:r w:rsidR="00643B80">
              <w:rPr>
                <w:b/>
              </w:rPr>
              <w:t xml:space="preserve"> (LC-1 to LC-4)</w:t>
            </w:r>
          </w:p>
          <w:p w14:paraId="7A0037CA" w14:textId="5A5E2E91" w:rsidR="009366FB" w:rsidRPr="004E0B81" w:rsidRDefault="0026545F" w:rsidP="004E0B81">
            <w:pPr>
              <w:keepNext/>
              <w:spacing w:after="120"/>
            </w:pPr>
            <w:r>
              <w:rPr>
                <w:rFonts w:cs="Calibri"/>
              </w:rPr>
              <w:t>E</w:t>
            </w:r>
            <w:r w:rsidR="009366FB" w:rsidRPr="004E0B81">
              <w:rPr>
                <w:rFonts w:cs="Calibri"/>
              </w:rPr>
              <w:t xml:space="preserve">xpectations for </w:t>
            </w:r>
            <w:r w:rsidR="00E91995">
              <w:rPr>
                <w:rFonts w:cs="Calibri"/>
              </w:rPr>
              <w:t>the</w:t>
            </w:r>
            <w:r w:rsidR="003B1662">
              <w:t xml:space="preserve"> wide</w:t>
            </w:r>
            <w:r w:rsidR="00E91995">
              <w:t xml:space="preserve"> </w:t>
            </w:r>
            <w:r w:rsidR="003B1662">
              <w:t>rang</w:t>
            </w:r>
            <w:r w:rsidR="00E91995">
              <w:t>e of</w:t>
            </w:r>
            <w:r w:rsidR="003B1662">
              <w:t xml:space="preserve"> </w:t>
            </w:r>
            <w:r w:rsidR="006D7210">
              <w:t xml:space="preserve">school </w:t>
            </w:r>
            <w:r w:rsidR="003B1662">
              <w:t>leadership responsibilities a</w:t>
            </w:r>
            <w:r w:rsidR="00E91995">
              <w:t xml:space="preserve">cross levels and </w:t>
            </w:r>
            <w:r w:rsidR="003B1662">
              <w:t>roles</w:t>
            </w:r>
            <w:r w:rsidR="006D7210">
              <w:t xml:space="preserve"> whether formal or informal (LC-1),</w:t>
            </w:r>
            <w:r w:rsidR="003B1662">
              <w:t xml:space="preserve"> </w:t>
            </w:r>
            <w:r w:rsidR="00AF1679">
              <w:t xml:space="preserve">and </w:t>
            </w:r>
            <w:r w:rsidR="006C6A8B">
              <w:t xml:space="preserve">how we </w:t>
            </w:r>
            <w:r w:rsidR="00900EEB">
              <w:t>keep</w:t>
            </w:r>
            <w:r w:rsidR="006C6A8B">
              <w:t xml:space="preserve"> </w:t>
            </w:r>
            <w:r w:rsidR="008E2E9C">
              <w:t xml:space="preserve">our research and teaching </w:t>
            </w:r>
            <w:r w:rsidR="001D4B7F">
              <w:t>relevant and visible through leadership in your discipline (LC-2)</w:t>
            </w:r>
            <w:r w:rsidR="00AF1679">
              <w:t xml:space="preserve">. Under citizenship there is </w:t>
            </w:r>
            <w:r w:rsidR="00900EEB">
              <w:t xml:space="preserve">our shared responsibility to </w:t>
            </w:r>
            <w:r w:rsidR="000E6C2A">
              <w:t xml:space="preserve">support </w:t>
            </w:r>
            <w:r w:rsidR="00900EEB">
              <w:t xml:space="preserve">each other through collegiality (LC-3) </w:t>
            </w:r>
            <w:r w:rsidR="00353F6A">
              <w:rPr>
                <w:rFonts w:cs="Calibri"/>
              </w:rPr>
              <w:t>and the</w:t>
            </w:r>
            <w:r w:rsidR="009366FB" w:rsidRPr="004E0B81">
              <w:rPr>
                <w:rFonts w:cs="Calibri"/>
              </w:rPr>
              <w:t xml:space="preserve"> </w:t>
            </w:r>
            <w:r w:rsidR="005A17E5">
              <w:rPr>
                <w:rFonts w:cs="Calibri"/>
              </w:rPr>
              <w:t xml:space="preserve">wider </w:t>
            </w:r>
            <w:r w:rsidR="009366FB" w:rsidRPr="004E0B81">
              <w:rPr>
                <w:rFonts w:cs="Calibri"/>
              </w:rPr>
              <w:t xml:space="preserve">contribution </w:t>
            </w:r>
            <w:r w:rsidR="001F0FC6">
              <w:rPr>
                <w:rFonts w:cs="Calibri"/>
              </w:rPr>
              <w:t xml:space="preserve">necessary </w:t>
            </w:r>
            <w:r w:rsidR="009366FB" w:rsidRPr="004E0B81">
              <w:rPr>
                <w:rFonts w:cs="Calibri"/>
              </w:rPr>
              <w:t xml:space="preserve">to running </w:t>
            </w:r>
            <w:r w:rsidR="005A17E5">
              <w:rPr>
                <w:rFonts w:cs="Calibri"/>
              </w:rPr>
              <w:t xml:space="preserve">a successful </w:t>
            </w:r>
            <w:r w:rsidR="001F0FC6">
              <w:rPr>
                <w:rFonts w:cs="Calibri"/>
              </w:rPr>
              <w:t>and inclusive</w:t>
            </w:r>
            <w:r w:rsidR="009366FB" w:rsidRPr="004E0B81">
              <w:rPr>
                <w:rFonts w:cs="Calibri"/>
              </w:rPr>
              <w:t xml:space="preserve"> school</w:t>
            </w:r>
            <w:r w:rsidR="00353F6A">
              <w:rPr>
                <w:rFonts w:cs="Calibri"/>
              </w:rPr>
              <w:t xml:space="preserve"> (LC-4)</w:t>
            </w:r>
            <w:r w:rsidR="009366FB" w:rsidRPr="004E0B81">
              <w:rPr>
                <w:rFonts w:cs="Calibri"/>
              </w:rPr>
              <w:t>.</w:t>
            </w:r>
          </w:p>
        </w:tc>
      </w:tr>
      <w:tr w:rsidR="009366FB" w14:paraId="0ABD6CB0" w14:textId="77777777" w:rsidTr="0072267C">
        <w:trPr>
          <w:trHeight w:val="3402"/>
        </w:trPr>
        <w:tc>
          <w:tcPr>
            <w:tcW w:w="10456" w:type="dxa"/>
          </w:tcPr>
          <w:p w14:paraId="40620097" w14:textId="77777777" w:rsidR="009366FB" w:rsidRDefault="009366FB" w:rsidP="0072267C">
            <w:pPr>
              <w:spacing w:after="120"/>
            </w:pPr>
          </w:p>
        </w:tc>
      </w:tr>
      <w:tr w:rsidR="00976E35" w:rsidRPr="004E0B81" w14:paraId="10502330" w14:textId="77777777" w:rsidTr="00E27525">
        <w:tc>
          <w:tcPr>
            <w:tcW w:w="10456" w:type="dxa"/>
            <w:shd w:val="clear" w:color="auto" w:fill="F2F2F2" w:themeFill="background1" w:themeFillShade="F2"/>
          </w:tcPr>
          <w:p w14:paraId="20B1D1EE" w14:textId="77777777" w:rsidR="00976E35" w:rsidRPr="004E0B81" w:rsidRDefault="00976E35" w:rsidP="004E0B81">
            <w:pPr>
              <w:keepNext/>
              <w:spacing w:after="120"/>
              <w:rPr>
                <w:b/>
              </w:rPr>
            </w:pPr>
            <w:r w:rsidRPr="004E0B81">
              <w:rPr>
                <w:b/>
              </w:rPr>
              <w:t>Indicators of external recognition</w:t>
            </w:r>
          </w:p>
          <w:p w14:paraId="60CF6B31" w14:textId="724F2B1D" w:rsidR="00976E35" w:rsidRPr="004E0B81" w:rsidRDefault="009961F1" w:rsidP="004E0B81">
            <w:pPr>
              <w:keepNext/>
              <w:spacing w:after="120"/>
            </w:pPr>
            <w:r>
              <w:rPr>
                <w:rFonts w:cs="Calibri"/>
              </w:rPr>
              <w:t xml:space="preserve">In addition to </w:t>
            </w:r>
            <w:r w:rsidR="0033746F">
              <w:rPr>
                <w:rFonts w:cs="Calibri"/>
              </w:rPr>
              <w:t>any indicators that might have been included under the APF categories above, w</w:t>
            </w:r>
            <w:r w:rsidR="00976E35" w:rsidRPr="004E0B81">
              <w:rPr>
                <w:rFonts w:cs="Calibri"/>
              </w:rPr>
              <w:t>hat typically constitutes well regarded measures of esteem?</w:t>
            </w:r>
          </w:p>
        </w:tc>
      </w:tr>
      <w:tr w:rsidR="00976E35" w14:paraId="27A331A0" w14:textId="77777777" w:rsidTr="0072267C">
        <w:trPr>
          <w:trHeight w:val="3402"/>
        </w:trPr>
        <w:tc>
          <w:tcPr>
            <w:tcW w:w="10456" w:type="dxa"/>
          </w:tcPr>
          <w:p w14:paraId="190D2077" w14:textId="77777777" w:rsidR="00976E35" w:rsidRDefault="00976E35" w:rsidP="0072267C">
            <w:pPr>
              <w:spacing w:after="120"/>
            </w:pPr>
          </w:p>
        </w:tc>
      </w:tr>
    </w:tbl>
    <w:p w14:paraId="28A7B9A1" w14:textId="77777777" w:rsidR="000339AA" w:rsidRDefault="000339AA"/>
    <w:p w14:paraId="04FAE8EA" w14:textId="77777777" w:rsidR="00976E35" w:rsidRDefault="00976E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831"/>
        <w:gridCol w:w="2826"/>
      </w:tblGrid>
      <w:tr w:rsidR="004961E4" w14:paraId="37C6C236" w14:textId="77777777" w:rsidTr="00E27525">
        <w:trPr>
          <w:trHeight w:val="548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5FD6D" w14:textId="77777777" w:rsidR="004961E4" w:rsidRPr="00DF142E" w:rsidRDefault="000339AA">
            <w:pPr>
              <w:rPr>
                <w:b/>
              </w:rPr>
            </w:pPr>
            <w:r w:rsidRPr="00DF142E">
              <w:rPr>
                <w:b/>
              </w:rPr>
              <w:t>Head of School Name</w:t>
            </w:r>
            <w:r w:rsidR="004961E4" w:rsidRPr="00DF142E">
              <w:rPr>
                <w:b/>
              </w:rPr>
              <w:t>:</w:t>
            </w:r>
          </w:p>
        </w:tc>
        <w:tc>
          <w:tcPr>
            <w:tcW w:w="7909" w:type="dxa"/>
            <w:gridSpan w:val="3"/>
            <w:vAlign w:val="center"/>
          </w:tcPr>
          <w:p w14:paraId="4E97FCB6" w14:textId="77777777" w:rsidR="004961E4" w:rsidRDefault="004961E4"/>
        </w:tc>
      </w:tr>
      <w:tr w:rsidR="004961E4" w14:paraId="7ABAB208" w14:textId="77777777" w:rsidTr="00E27525">
        <w:trPr>
          <w:trHeight w:val="556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56144" w14:textId="77777777" w:rsidR="004961E4" w:rsidRPr="00DF142E" w:rsidRDefault="004961E4">
            <w:pPr>
              <w:rPr>
                <w:b/>
              </w:rPr>
            </w:pPr>
            <w:r w:rsidRPr="00DF142E">
              <w:rPr>
                <w:b/>
              </w:rPr>
              <w:t>Signed:</w:t>
            </w:r>
          </w:p>
        </w:tc>
        <w:tc>
          <w:tcPr>
            <w:tcW w:w="4252" w:type="dxa"/>
            <w:vAlign w:val="center"/>
          </w:tcPr>
          <w:p w14:paraId="52414AC3" w14:textId="77777777" w:rsidR="004961E4" w:rsidRDefault="004961E4"/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14:paraId="2DDE0B9C" w14:textId="77777777" w:rsidR="004961E4" w:rsidRPr="00DF142E" w:rsidRDefault="004961E4">
            <w:pPr>
              <w:rPr>
                <w:b/>
              </w:rPr>
            </w:pPr>
            <w:r w:rsidRPr="00DF142E">
              <w:rPr>
                <w:b/>
              </w:rPr>
              <w:t>Date:</w:t>
            </w:r>
          </w:p>
        </w:tc>
        <w:tc>
          <w:tcPr>
            <w:tcW w:w="2826" w:type="dxa"/>
            <w:vAlign w:val="center"/>
          </w:tcPr>
          <w:p w14:paraId="3A70214F" w14:textId="77777777" w:rsidR="004961E4" w:rsidRDefault="004961E4"/>
        </w:tc>
      </w:tr>
      <w:tr w:rsidR="004961E4" w14:paraId="08FC81D2" w14:textId="77777777" w:rsidTr="004961E4">
        <w:tc>
          <w:tcPr>
            <w:tcW w:w="10456" w:type="dxa"/>
            <w:gridSpan w:val="4"/>
            <w:vAlign w:val="center"/>
          </w:tcPr>
          <w:p w14:paraId="674CD10B" w14:textId="77777777" w:rsidR="004961E4" w:rsidRDefault="00000000">
            <w:sdt>
              <w:sdtPr>
                <w:id w:val="-99110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1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1E4">
              <w:tab/>
              <w:t>Checking this box will be accepted instead of a signature if you are submitting this form via email</w:t>
            </w:r>
          </w:p>
        </w:tc>
      </w:tr>
    </w:tbl>
    <w:p w14:paraId="5A0CFB34" w14:textId="77777777" w:rsidR="004961E4" w:rsidRDefault="004961E4"/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4961E4" w14:paraId="0FFC448F" w14:textId="77777777" w:rsidTr="003E22F2">
        <w:trPr>
          <w:trHeight w:val="410"/>
        </w:trPr>
        <w:tc>
          <w:tcPr>
            <w:tcW w:w="10456" w:type="dxa"/>
            <w:shd w:val="clear" w:color="auto" w:fill="000000" w:themeFill="text1"/>
            <w:vAlign w:val="center"/>
          </w:tcPr>
          <w:p w14:paraId="3F0DD049" w14:textId="222C1976" w:rsidR="004961E4" w:rsidRDefault="004961E4" w:rsidP="003E22F2">
            <w:pPr>
              <w:rPr>
                <w:rStyle w:val="Hyperlink"/>
                <w:szCs w:val="24"/>
                <w:u w:val="none"/>
              </w:rPr>
            </w:pPr>
            <w:r>
              <w:rPr>
                <w:b/>
                <w:color w:val="FFFFFF"/>
              </w:rPr>
              <w:t>P</w:t>
            </w:r>
            <w:r w:rsidRPr="00FA08B5">
              <w:rPr>
                <w:b/>
                <w:color w:val="FFFFFF"/>
              </w:rPr>
              <w:t>EASE FORWARD THIS FORM</w:t>
            </w:r>
            <w:r w:rsidR="000339AA">
              <w:rPr>
                <w:b/>
                <w:color w:val="FFFFFF"/>
              </w:rPr>
              <w:t xml:space="preserve"> </w:t>
            </w:r>
            <w:r w:rsidR="00EE2D84">
              <w:rPr>
                <w:b/>
                <w:color w:val="FFFFFF"/>
              </w:rPr>
              <w:t xml:space="preserve">AND/OR A LINK TO WHERE IT CAN BE ACCESSED BY OTHERS IN </w:t>
            </w:r>
            <w:r w:rsidR="001B08C1">
              <w:rPr>
                <w:b/>
                <w:color w:val="FFFFFF"/>
              </w:rPr>
              <w:t>YOUR</w:t>
            </w:r>
            <w:r w:rsidR="00EE2D84">
              <w:rPr>
                <w:b/>
                <w:color w:val="FFFFFF"/>
              </w:rPr>
              <w:t xml:space="preserve"> SCHOOL</w:t>
            </w:r>
            <w:r w:rsidR="00EE2D84" w:rsidRPr="00FA08B5">
              <w:rPr>
                <w:b/>
                <w:color w:val="FFFFFF"/>
              </w:rPr>
              <w:t xml:space="preserve"> </w:t>
            </w:r>
            <w:r w:rsidRPr="00FA08B5">
              <w:rPr>
                <w:b/>
                <w:color w:val="FFFFFF"/>
              </w:rPr>
              <w:t xml:space="preserve">TO YOUR </w:t>
            </w:r>
            <w:r w:rsidR="000339AA">
              <w:rPr>
                <w:b/>
                <w:color w:val="FFFFFF"/>
              </w:rPr>
              <w:t>FACULTY HR ADVISER</w:t>
            </w:r>
            <w:r w:rsidR="00A9434C">
              <w:rPr>
                <w:b/>
                <w:color w:val="FFFFFF"/>
              </w:rPr>
              <w:t xml:space="preserve"> </w:t>
            </w:r>
          </w:p>
        </w:tc>
      </w:tr>
    </w:tbl>
    <w:p w14:paraId="5BDED2BA" w14:textId="77777777" w:rsidR="004961E4" w:rsidRDefault="004961E4" w:rsidP="004961E4">
      <w:pPr>
        <w:rPr>
          <w:rStyle w:val="Hyperlink"/>
          <w:szCs w:val="24"/>
          <w:u w:val="none"/>
        </w:rPr>
      </w:pPr>
    </w:p>
    <w:p w14:paraId="0E470CEE" w14:textId="77777777" w:rsidR="004961E4" w:rsidRDefault="004961E4"/>
    <w:sectPr w:rsidR="004961E4" w:rsidSect="004961E4">
      <w:footerReference w:type="default" r:id="rId14"/>
      <w:type w:val="oddPage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33D92" w14:textId="77777777" w:rsidR="00292D7D" w:rsidRDefault="00292D7D" w:rsidP="00761E72">
      <w:r>
        <w:separator/>
      </w:r>
    </w:p>
    <w:p w14:paraId="338DFA35" w14:textId="77777777" w:rsidR="00292D7D" w:rsidRDefault="00292D7D"/>
    <w:p w14:paraId="68C499DE" w14:textId="77777777" w:rsidR="00292D7D" w:rsidRDefault="00292D7D" w:rsidP="00345C7B"/>
  </w:endnote>
  <w:endnote w:type="continuationSeparator" w:id="0">
    <w:p w14:paraId="6742D36B" w14:textId="77777777" w:rsidR="00292D7D" w:rsidRDefault="00292D7D" w:rsidP="00761E72">
      <w:r>
        <w:continuationSeparator/>
      </w:r>
    </w:p>
    <w:p w14:paraId="09B5945B" w14:textId="77777777" w:rsidR="00292D7D" w:rsidRDefault="00292D7D"/>
    <w:p w14:paraId="16090A6D" w14:textId="77777777" w:rsidR="00292D7D" w:rsidRDefault="00292D7D" w:rsidP="00345C7B"/>
  </w:endnote>
  <w:endnote w:type="continuationNotice" w:id="1">
    <w:p w14:paraId="37A598F3" w14:textId="77777777" w:rsidR="00292D7D" w:rsidRDefault="00292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42230" w14:textId="4583615D" w:rsidR="003257FB" w:rsidRDefault="00DF142E" w:rsidP="007C1D9A">
    <w:pPr>
      <w:pStyle w:val="Footer"/>
      <w:pBdr>
        <w:top w:val="single" w:sz="4" w:space="1" w:color="auto"/>
      </w:pBdr>
    </w:pPr>
    <w:r>
      <w:t>School Context Report form</w:t>
    </w:r>
    <w:r w:rsidR="003702C7">
      <w:t xml:space="preserve"> </w:t>
    </w:r>
    <w:r w:rsidR="004D75B7">
      <w:t xml:space="preserve">(updated </w:t>
    </w:r>
    <w:r w:rsidR="00F34E7E">
      <w:t>November 2024</w:t>
    </w:r>
    <w:r w:rsidR="004D75B7">
      <w:t>)</w:t>
    </w:r>
    <w:r w:rsidR="00D817ED">
      <w:ptab w:relativeTo="margin" w:alignment="right" w:leader="none"/>
    </w:r>
    <w:r w:rsidR="007C1D9A" w:rsidRPr="007C1D9A">
      <w:rPr>
        <w:rStyle w:val="PageNumber"/>
        <w:color w:val="7F7F7F" w:themeColor="background1" w:themeShade="7F"/>
        <w:spacing w:val="60"/>
      </w:rPr>
      <w:t>Page</w:t>
    </w:r>
    <w:r w:rsidR="007C1D9A" w:rsidRPr="007C1D9A">
      <w:rPr>
        <w:rStyle w:val="PageNumber"/>
      </w:rPr>
      <w:t xml:space="preserve"> | </w:t>
    </w:r>
    <w:r w:rsidR="007C1D9A" w:rsidRPr="007C1D9A">
      <w:rPr>
        <w:rStyle w:val="PageNumber"/>
      </w:rPr>
      <w:fldChar w:fldCharType="begin"/>
    </w:r>
    <w:r w:rsidR="007C1D9A" w:rsidRPr="007C1D9A">
      <w:rPr>
        <w:rStyle w:val="PageNumber"/>
      </w:rPr>
      <w:instrText xml:space="preserve"> PAGE   \* MERGEFORMAT </w:instrText>
    </w:r>
    <w:r w:rsidR="007C1D9A" w:rsidRPr="007C1D9A">
      <w:rPr>
        <w:rStyle w:val="PageNumber"/>
      </w:rPr>
      <w:fldChar w:fldCharType="separate"/>
    </w:r>
    <w:r w:rsidR="007C1D9A" w:rsidRPr="007C1D9A">
      <w:rPr>
        <w:rStyle w:val="PageNumber"/>
        <w:b/>
        <w:bCs/>
        <w:noProof/>
      </w:rPr>
      <w:t>1</w:t>
    </w:r>
    <w:r w:rsidR="007C1D9A" w:rsidRPr="007C1D9A">
      <w:rPr>
        <w:rStyle w:val="PageNumber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1141" w14:textId="77777777" w:rsidR="00292D7D" w:rsidRDefault="00292D7D" w:rsidP="00761E72">
      <w:r>
        <w:separator/>
      </w:r>
    </w:p>
    <w:p w14:paraId="63CDD097" w14:textId="77777777" w:rsidR="00292D7D" w:rsidRDefault="00292D7D"/>
    <w:p w14:paraId="69C812DC" w14:textId="77777777" w:rsidR="00292D7D" w:rsidRDefault="00292D7D" w:rsidP="00345C7B"/>
  </w:footnote>
  <w:footnote w:type="continuationSeparator" w:id="0">
    <w:p w14:paraId="7C9372B6" w14:textId="77777777" w:rsidR="00292D7D" w:rsidRDefault="00292D7D" w:rsidP="00761E72">
      <w:r>
        <w:continuationSeparator/>
      </w:r>
    </w:p>
    <w:p w14:paraId="3FA4A72E" w14:textId="77777777" w:rsidR="00292D7D" w:rsidRDefault="00292D7D"/>
    <w:p w14:paraId="2AAE5B51" w14:textId="77777777" w:rsidR="00292D7D" w:rsidRDefault="00292D7D" w:rsidP="00345C7B"/>
  </w:footnote>
  <w:footnote w:type="continuationNotice" w:id="1">
    <w:p w14:paraId="45A2EE5B" w14:textId="77777777" w:rsidR="00292D7D" w:rsidRDefault="00292D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4734F"/>
    <w:multiLevelType w:val="hybridMultilevel"/>
    <w:tmpl w:val="EFCA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2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72"/>
    <w:rsid w:val="000339AA"/>
    <w:rsid w:val="00047B74"/>
    <w:rsid w:val="000528FF"/>
    <w:rsid w:val="00070413"/>
    <w:rsid w:val="000B6AAE"/>
    <w:rsid w:val="000B76C0"/>
    <w:rsid w:val="000C5258"/>
    <w:rsid w:val="000E3E41"/>
    <w:rsid w:val="000E6C2A"/>
    <w:rsid w:val="000F5F93"/>
    <w:rsid w:val="00100985"/>
    <w:rsid w:val="001117A9"/>
    <w:rsid w:val="0011259A"/>
    <w:rsid w:val="00140CD1"/>
    <w:rsid w:val="0015307F"/>
    <w:rsid w:val="00163A46"/>
    <w:rsid w:val="00173029"/>
    <w:rsid w:val="0018281E"/>
    <w:rsid w:val="00184A9C"/>
    <w:rsid w:val="00194811"/>
    <w:rsid w:val="00194F83"/>
    <w:rsid w:val="001A2592"/>
    <w:rsid w:val="001A33EE"/>
    <w:rsid w:val="001B08C1"/>
    <w:rsid w:val="001B576B"/>
    <w:rsid w:val="001B5CDD"/>
    <w:rsid w:val="001D4B7F"/>
    <w:rsid w:val="001F0FC6"/>
    <w:rsid w:val="002178E4"/>
    <w:rsid w:val="00243019"/>
    <w:rsid w:val="00243FCA"/>
    <w:rsid w:val="00254FFC"/>
    <w:rsid w:val="0026545F"/>
    <w:rsid w:val="00267A30"/>
    <w:rsid w:val="00281BC5"/>
    <w:rsid w:val="00290BF4"/>
    <w:rsid w:val="00292D7D"/>
    <w:rsid w:val="002B38EB"/>
    <w:rsid w:val="002C4291"/>
    <w:rsid w:val="002D3FF9"/>
    <w:rsid w:val="002E36E7"/>
    <w:rsid w:val="0030128F"/>
    <w:rsid w:val="00310D09"/>
    <w:rsid w:val="0031312A"/>
    <w:rsid w:val="003257FB"/>
    <w:rsid w:val="0033746F"/>
    <w:rsid w:val="00342260"/>
    <w:rsid w:val="00345C7B"/>
    <w:rsid w:val="00353F6A"/>
    <w:rsid w:val="00364729"/>
    <w:rsid w:val="00365815"/>
    <w:rsid w:val="003702C7"/>
    <w:rsid w:val="00376CC0"/>
    <w:rsid w:val="00391E15"/>
    <w:rsid w:val="003B1662"/>
    <w:rsid w:val="003B54CE"/>
    <w:rsid w:val="003C54CE"/>
    <w:rsid w:val="003E551E"/>
    <w:rsid w:val="00405B27"/>
    <w:rsid w:val="00424271"/>
    <w:rsid w:val="004725F5"/>
    <w:rsid w:val="00472832"/>
    <w:rsid w:val="00494861"/>
    <w:rsid w:val="004961E4"/>
    <w:rsid w:val="004D75B7"/>
    <w:rsid w:val="004E0B81"/>
    <w:rsid w:val="005102F9"/>
    <w:rsid w:val="0054234E"/>
    <w:rsid w:val="0055751E"/>
    <w:rsid w:val="0058538E"/>
    <w:rsid w:val="005A17E5"/>
    <w:rsid w:val="005A75A0"/>
    <w:rsid w:val="005B467D"/>
    <w:rsid w:val="00603701"/>
    <w:rsid w:val="00612951"/>
    <w:rsid w:val="0062392D"/>
    <w:rsid w:val="0062663F"/>
    <w:rsid w:val="00633C59"/>
    <w:rsid w:val="00634E84"/>
    <w:rsid w:val="00643B80"/>
    <w:rsid w:val="0069722C"/>
    <w:rsid w:val="006A08AE"/>
    <w:rsid w:val="006A597D"/>
    <w:rsid w:val="006C1002"/>
    <w:rsid w:val="006C6A8B"/>
    <w:rsid w:val="006D4CB7"/>
    <w:rsid w:val="006D7210"/>
    <w:rsid w:val="006E235C"/>
    <w:rsid w:val="007126A8"/>
    <w:rsid w:val="00714635"/>
    <w:rsid w:val="0072267C"/>
    <w:rsid w:val="00727E01"/>
    <w:rsid w:val="007548EF"/>
    <w:rsid w:val="00754B04"/>
    <w:rsid w:val="00761E72"/>
    <w:rsid w:val="00762FB5"/>
    <w:rsid w:val="0076740C"/>
    <w:rsid w:val="007676F3"/>
    <w:rsid w:val="007C1D9A"/>
    <w:rsid w:val="007C72E0"/>
    <w:rsid w:val="007D058A"/>
    <w:rsid w:val="007D39C9"/>
    <w:rsid w:val="007E2BE6"/>
    <w:rsid w:val="007F58F9"/>
    <w:rsid w:val="00822190"/>
    <w:rsid w:val="00824115"/>
    <w:rsid w:val="0083659F"/>
    <w:rsid w:val="00851902"/>
    <w:rsid w:val="00856888"/>
    <w:rsid w:val="00856A9E"/>
    <w:rsid w:val="0086518F"/>
    <w:rsid w:val="0086686E"/>
    <w:rsid w:val="008B7069"/>
    <w:rsid w:val="008B7DC3"/>
    <w:rsid w:val="008E2E9C"/>
    <w:rsid w:val="00900EEB"/>
    <w:rsid w:val="0091291D"/>
    <w:rsid w:val="0091543D"/>
    <w:rsid w:val="009366FB"/>
    <w:rsid w:val="009455BC"/>
    <w:rsid w:val="009672F7"/>
    <w:rsid w:val="00976E35"/>
    <w:rsid w:val="009961F1"/>
    <w:rsid w:val="00996696"/>
    <w:rsid w:val="009C2928"/>
    <w:rsid w:val="009C4560"/>
    <w:rsid w:val="009D0E9D"/>
    <w:rsid w:val="009D3F26"/>
    <w:rsid w:val="009D4301"/>
    <w:rsid w:val="00A03D0D"/>
    <w:rsid w:val="00A13D91"/>
    <w:rsid w:val="00A210CD"/>
    <w:rsid w:val="00A318B2"/>
    <w:rsid w:val="00A32944"/>
    <w:rsid w:val="00A422AF"/>
    <w:rsid w:val="00A617D2"/>
    <w:rsid w:val="00A82BC4"/>
    <w:rsid w:val="00A92BA2"/>
    <w:rsid w:val="00A9434C"/>
    <w:rsid w:val="00AD4081"/>
    <w:rsid w:val="00AD50D9"/>
    <w:rsid w:val="00AF1679"/>
    <w:rsid w:val="00AF1FDB"/>
    <w:rsid w:val="00B111F9"/>
    <w:rsid w:val="00B24F6C"/>
    <w:rsid w:val="00B443F3"/>
    <w:rsid w:val="00B703F2"/>
    <w:rsid w:val="00B81CA5"/>
    <w:rsid w:val="00BE7D57"/>
    <w:rsid w:val="00BF3802"/>
    <w:rsid w:val="00C176EB"/>
    <w:rsid w:val="00C5313D"/>
    <w:rsid w:val="00C60EA2"/>
    <w:rsid w:val="00C762A0"/>
    <w:rsid w:val="00C9040B"/>
    <w:rsid w:val="00CD0F8D"/>
    <w:rsid w:val="00CE1BA6"/>
    <w:rsid w:val="00CF47A8"/>
    <w:rsid w:val="00CF5D27"/>
    <w:rsid w:val="00D15B79"/>
    <w:rsid w:val="00D24DC1"/>
    <w:rsid w:val="00D32B16"/>
    <w:rsid w:val="00D4021E"/>
    <w:rsid w:val="00D431DF"/>
    <w:rsid w:val="00D45D39"/>
    <w:rsid w:val="00D470F4"/>
    <w:rsid w:val="00D731F8"/>
    <w:rsid w:val="00D73E02"/>
    <w:rsid w:val="00D817ED"/>
    <w:rsid w:val="00DA333A"/>
    <w:rsid w:val="00DD663E"/>
    <w:rsid w:val="00DE4E70"/>
    <w:rsid w:val="00DF142E"/>
    <w:rsid w:val="00E007DE"/>
    <w:rsid w:val="00E01D86"/>
    <w:rsid w:val="00E02855"/>
    <w:rsid w:val="00E27525"/>
    <w:rsid w:val="00E325F5"/>
    <w:rsid w:val="00E37F4E"/>
    <w:rsid w:val="00E74EF1"/>
    <w:rsid w:val="00E91995"/>
    <w:rsid w:val="00EC3E3B"/>
    <w:rsid w:val="00EE2D84"/>
    <w:rsid w:val="00EE6178"/>
    <w:rsid w:val="00F10139"/>
    <w:rsid w:val="00F130C5"/>
    <w:rsid w:val="00F13611"/>
    <w:rsid w:val="00F148C1"/>
    <w:rsid w:val="00F34E7E"/>
    <w:rsid w:val="00F5183F"/>
    <w:rsid w:val="00F8750E"/>
    <w:rsid w:val="00FB1ABE"/>
    <w:rsid w:val="00FB34F0"/>
    <w:rsid w:val="00FE04A5"/>
    <w:rsid w:val="00FE3D4A"/>
    <w:rsid w:val="00FE3F1E"/>
    <w:rsid w:val="0E2FCB24"/>
    <w:rsid w:val="312818F8"/>
    <w:rsid w:val="64E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E5DF1"/>
  <w15:chartTrackingRefBased/>
  <w15:docId w15:val="{C769AA57-B8CE-4426-B3DC-39CD6813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1E72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1E72"/>
    <w:rPr>
      <w:rFonts w:ascii="Calibri" w:hAnsi="Calibri"/>
      <w:color w:val="0000FF"/>
      <w:sz w:val="24"/>
      <w:u w:val="single"/>
    </w:rPr>
  </w:style>
  <w:style w:type="table" w:styleId="TableGrid">
    <w:name w:val="Table Grid"/>
    <w:basedOn w:val="TableNormal"/>
    <w:uiPriority w:val="39"/>
    <w:rsid w:val="0076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7FB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5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7FB"/>
    <w:rPr>
      <w:rFonts w:ascii="Calibri" w:eastAsia="Calibri" w:hAnsi="Calibri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702C7"/>
  </w:style>
  <w:style w:type="character" w:styleId="PlaceholderText">
    <w:name w:val="Placeholder Text"/>
    <w:basedOn w:val="DefaultParagraphFont"/>
    <w:uiPriority w:val="99"/>
    <w:semiHidden/>
    <w:rsid w:val="00CD0F8D"/>
    <w:rPr>
      <w:color w:val="808080"/>
    </w:rPr>
  </w:style>
  <w:style w:type="paragraph" w:styleId="Revision">
    <w:name w:val="Revision"/>
    <w:hidden/>
    <w:uiPriority w:val="99"/>
    <w:semiHidden/>
    <w:rsid w:val="0058538E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183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B443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3F3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43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2F7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4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ristol.ac.uk/bil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istol.ac.uk/research/environment/responsible-research-assessme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stol.ac.uk/staffdevelopment/academic/our-work/bristol-clear/bristols-commitment-to-research-staff-developme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CD5E-81EC-4FC1-970F-5F532EA36B24}"/>
      </w:docPartPr>
      <w:docPartBody>
        <w:p w:rsidR="00486EEA" w:rsidRDefault="0011259A">
          <w:r w:rsidRPr="002714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9A"/>
    <w:rsid w:val="0000540E"/>
    <w:rsid w:val="000F41AB"/>
    <w:rsid w:val="0011259A"/>
    <w:rsid w:val="001A2592"/>
    <w:rsid w:val="001F589C"/>
    <w:rsid w:val="00335EB7"/>
    <w:rsid w:val="00404905"/>
    <w:rsid w:val="00486EEA"/>
    <w:rsid w:val="006D3D1F"/>
    <w:rsid w:val="00D45D39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5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12ef8833-9328-45b9-bd9a-331b0ce5e5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64A71EF015E4C9AA14DF543F4587C" ma:contentTypeVersion="14" ma:contentTypeDescription="Create a new document." ma:contentTypeScope="" ma:versionID="737b12b4e3090f0d516dbcde2d0b0dc5">
  <xsd:schema xmlns:xsd="http://www.w3.org/2001/XMLSchema" xmlns:xs="http://www.w3.org/2001/XMLSchema" xmlns:p="http://schemas.microsoft.com/office/2006/metadata/properties" xmlns:ns2="12ef8833-9328-45b9-bd9a-331b0ce5e586" xmlns:ns3="4a282802-b626-4673-94f9-53fbe76c57cd" xmlns:ns4="edb9d0e4-5370-4cfb-9e4e-bdf6de379f60" targetNamespace="http://schemas.microsoft.com/office/2006/metadata/properties" ma:root="true" ma:fieldsID="7b81300af0a3da8317f03898d52cc2ed" ns2:_="" ns3:_="" ns4:_="">
    <xsd:import namespace="12ef8833-9328-45b9-bd9a-331b0ce5e586"/>
    <xsd:import namespace="4a282802-b626-4673-94f9-53fbe76c57cd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lcf76f155ced4ddcb4097134ff3c332f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f8833-9328-45b9-bd9a-331b0ce5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2802-b626-4673-94f9-53fbe76c5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02700d-f717-437c-bb6d-b20093617243}" ma:internalName="TaxCatchAll" ma:showField="CatchAllData" ma:web="4a282802-b626-4673-94f9-53fbe76c5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E07FF-EECF-466B-8724-21A23F6AC983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12ef8833-9328-45b9-bd9a-331b0ce5e586"/>
  </ds:schemaRefs>
</ds:datastoreItem>
</file>

<file path=customXml/itemProps2.xml><?xml version="1.0" encoding="utf-8"?>
<ds:datastoreItem xmlns:ds="http://schemas.openxmlformats.org/officeDocument/2006/customXml" ds:itemID="{F91FE2E0-5B8E-42FB-B332-081CC4534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25961-19ED-4C8D-9C25-FAB1E6C99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f8833-9328-45b9-bd9a-331b0ce5e586"/>
    <ds:schemaRef ds:uri="4a282802-b626-4673-94f9-53fbe76c57cd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Links>
    <vt:vector size="18" baseType="variant">
      <vt:variant>
        <vt:i4>2883705</vt:i4>
      </vt:variant>
      <vt:variant>
        <vt:i4>6</vt:i4>
      </vt:variant>
      <vt:variant>
        <vt:i4>0</vt:i4>
      </vt:variant>
      <vt:variant>
        <vt:i4>5</vt:i4>
      </vt:variant>
      <vt:variant>
        <vt:lpwstr>https://www.bristol.ac.uk/bilt/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https://www.bristol.ac.uk/research/environment/responsible-research-assessment/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http://www.bristol.ac.uk/staffdevelopment/academic/our-work/bristol-clear/bristols-commitment-to-research-staff-development/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Scaife</dc:creator>
  <cp:keywords/>
  <dc:description/>
  <cp:lastModifiedBy>Kimberley Dean</cp:lastModifiedBy>
  <cp:revision>4</cp:revision>
  <dcterms:created xsi:type="dcterms:W3CDTF">2022-10-27T07:35:00Z</dcterms:created>
  <dcterms:modified xsi:type="dcterms:W3CDTF">2024-11-19T09:37:00Z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0x01010019464A71EF015E4C9AA14DF543F4587C</vt:lpwstr>
  </property>
  <property fmtid="{D5CDD505-2E9C-101B-9397-08002B2CF9AE}" pid="3" name="MediaServiceImageTags">
    <vt:lpwstr/>
  </property>
</Properties>
</file>